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sz w:val="27"/>
          <w:szCs w:val="27"/>
        </w:rPr>
        <w:t>ело № 5-</w:t>
      </w:r>
      <w:r>
        <w:rPr>
          <w:rFonts w:ascii="Times New Roman" w:eastAsia="Times New Roman" w:hAnsi="Times New Roman" w:cs="Times New Roman"/>
          <w:sz w:val="27"/>
          <w:szCs w:val="27"/>
        </w:rPr>
        <w:t>895</w:t>
      </w:r>
      <w:r>
        <w:rPr>
          <w:rFonts w:ascii="Times New Roman" w:eastAsia="Times New Roman" w:hAnsi="Times New Roman" w:cs="Times New Roman"/>
          <w:sz w:val="27"/>
          <w:szCs w:val="27"/>
        </w:rPr>
        <w:t>-26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567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ind w:firstLine="567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29 мая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г. Сургут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И.о.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205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Хохлач Виталия Анатольевича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родившегося </w:t>
      </w:r>
      <w:r>
        <w:rPr>
          <w:rStyle w:val="cat-UserDefinedgrp-35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зарегистрированного по месту жительства по адресу: </w:t>
      </w:r>
      <w:r>
        <w:rPr>
          <w:rStyle w:val="cat-UserDefinedgrp-36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являющегося </w:t>
      </w:r>
      <w:r>
        <w:rPr>
          <w:rStyle w:val="cat-UserDefinedgrp-37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правонарушении, предусмотренном ст. 15.5 КоАП РФ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>
        <w:rPr>
          <w:rFonts w:ascii="Times New Roman" w:eastAsia="Times New Roman" w:hAnsi="Times New Roman" w:cs="Times New Roman"/>
          <w:sz w:val="27"/>
          <w:szCs w:val="27"/>
        </w:rPr>
        <w:t>26.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.2023 </w:t>
      </w:r>
      <w:r>
        <w:rPr>
          <w:rFonts w:ascii="Times New Roman" w:eastAsia="Times New Roman" w:hAnsi="Times New Roman" w:cs="Times New Roman"/>
          <w:sz w:val="27"/>
          <w:szCs w:val="27"/>
        </w:rPr>
        <w:t>года от налогоплательщика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38rplc-1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расчет по страховым взносам за 9 месяцев 2023 года не поступал. Установленный законодательством о налогах и сборах срок предоставления расчета по страховым взносам за 9 месяцев 2023 года – не позднее 25.10.2023 года, в результате чего нарушены </w:t>
      </w:r>
      <w:r>
        <w:rPr>
          <w:rFonts w:ascii="Times New Roman" w:eastAsia="Times New Roman" w:hAnsi="Times New Roman" w:cs="Times New Roman"/>
          <w:sz w:val="27"/>
          <w:szCs w:val="27"/>
        </w:rPr>
        <w:t>п.п</w:t>
      </w:r>
      <w:r>
        <w:rPr>
          <w:rFonts w:ascii="Times New Roman" w:eastAsia="Times New Roman" w:hAnsi="Times New Roman" w:cs="Times New Roman"/>
          <w:sz w:val="27"/>
          <w:szCs w:val="27"/>
        </w:rPr>
        <w:t>. 4 п.1 ст. 23, п. 7 ст. 431 НК РФ.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рассмотрении дела об административном правонарушении привлекаемый, будучи извещенный надлежащим образом о времени и месте судебного разбирательства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(п. 6 Постановления Пленума ВС РФ от 24.03.2005 г. № 5), </w:t>
      </w:r>
      <w:r>
        <w:rPr>
          <w:rFonts w:ascii="Times New Roman" w:eastAsia="Times New Roman" w:hAnsi="Times New Roman" w:cs="Times New Roman"/>
          <w:sz w:val="27"/>
          <w:szCs w:val="27"/>
        </w:rPr>
        <w:t>не присутствовал, ходатайств об отложении судебного заседания не заявлял. При таких обстоятельствах и на основании ст. 25.1 КоАП РФ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Изучив материалы дела, мировой судья приходит к выводу о том, что виновность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Хохлач В.А</w:t>
      </w:r>
      <w:r>
        <w:rPr>
          <w:rFonts w:ascii="Times New Roman" w:eastAsia="Times New Roman" w:hAnsi="Times New Roman" w:cs="Times New Roman"/>
          <w:sz w:val="27"/>
          <w:szCs w:val="27"/>
        </w:rPr>
        <w:t>. в совершении правонарушения подтверждается: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протоколом № </w:t>
      </w:r>
      <w:r>
        <w:rPr>
          <w:rFonts w:ascii="Times New Roman" w:eastAsia="Times New Roman" w:hAnsi="Times New Roman" w:cs="Times New Roman"/>
          <w:sz w:val="27"/>
          <w:szCs w:val="27"/>
        </w:rPr>
        <w:t>23877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>от 17.04.2024 года</w:t>
      </w:r>
      <w:r>
        <w:rPr>
          <w:rFonts w:ascii="Times New Roman" w:eastAsia="Times New Roman" w:hAnsi="Times New Roman" w:cs="Times New Roman"/>
          <w:sz w:val="27"/>
          <w:szCs w:val="27"/>
        </w:rPr>
        <w:t>; копией выписки из Единого государственного реестра юридических лиц; справкой об отсутствии декларации к установленному сроку от 26.10.2023 года; информационным письмом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20.02.2024 года</w:t>
      </w:r>
      <w:r>
        <w:rPr>
          <w:rFonts w:ascii="Times New Roman" w:eastAsia="Times New Roman" w:hAnsi="Times New Roman" w:cs="Times New Roman"/>
          <w:sz w:val="27"/>
          <w:szCs w:val="27"/>
        </w:rPr>
        <w:t>; копией списка внутренних почтовых отправлений от 21.02.2024 года; уведомлением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14.03.2024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копией списка внутренних почтовых отправлений от 14.03.2024 года; отчетом об отслеживании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почтового </w:t>
      </w:r>
      <w:r>
        <w:rPr>
          <w:rFonts w:ascii="Times New Roman" w:eastAsia="Times New Roman" w:hAnsi="Times New Roman" w:cs="Times New Roman"/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виновность </w:t>
      </w:r>
      <w:r>
        <w:rPr>
          <w:rFonts w:ascii="Times New Roman" w:eastAsia="Times New Roman" w:hAnsi="Times New Roman" w:cs="Times New Roman"/>
          <w:sz w:val="27"/>
          <w:szCs w:val="27"/>
        </w:rPr>
        <w:t>Хохлач В.А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полностью доказанной. </w:t>
      </w:r>
      <w:r>
        <w:rPr>
          <w:rFonts w:ascii="Times New Roman" w:eastAsia="Times New Roman" w:hAnsi="Times New Roman" w:cs="Times New Roman"/>
          <w:sz w:val="27"/>
          <w:szCs w:val="27"/>
        </w:rPr>
        <w:t>Его действия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квалифицируются по ст. 15.5 КоАП РФ – нарушение установленных </w:t>
      </w:r>
      <w:r>
        <w:rPr>
          <w:rFonts w:ascii="Times New Roman" w:eastAsia="Times New Roman" w:hAnsi="Times New Roman" w:cs="Times New Roman"/>
          <w:sz w:val="27"/>
          <w:szCs w:val="27"/>
        </w:rPr>
        <w:t>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Обстоятельством, предусмотренным ст. 4.3 КоАП РФ, отягчающим административную ответственность, с</w:t>
      </w:r>
      <w:r>
        <w:rPr>
          <w:rFonts w:ascii="Times New Roman" w:eastAsia="Times New Roman" w:hAnsi="Times New Roman" w:cs="Times New Roman"/>
          <w:sz w:val="27"/>
          <w:szCs w:val="27"/>
        </w:rPr>
        <w:t>уд признаёт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27.09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Хохлач В.А</w:t>
      </w:r>
      <w:r>
        <w:rPr>
          <w:rFonts w:ascii="Times New Roman" w:eastAsia="Times New Roman" w:hAnsi="Times New Roman" w:cs="Times New Roman"/>
          <w:sz w:val="27"/>
          <w:szCs w:val="27"/>
        </w:rPr>
        <w:t>. наказание в виде административного штрафа в минимальном, предусмотренном санкцией размере.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Хохлач Виталия Анатольевича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0,00 рублей.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путем подачи жалобы </w:t>
      </w:r>
      <w:r>
        <w:rPr>
          <w:rFonts w:ascii="Times New Roman" w:eastAsia="Times New Roman" w:hAnsi="Times New Roman" w:cs="Times New Roman"/>
          <w:sz w:val="27"/>
          <w:szCs w:val="27"/>
        </w:rPr>
        <w:t>через мирового судью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rFonts w:ascii="Times New Roman" w:eastAsia="Times New Roman" w:hAnsi="Times New Roman" w:cs="Times New Roman"/>
        </w:rPr>
        <w:t xml:space="preserve">, КБК: 72011601153010005140. УИН </w:t>
      </w:r>
      <w:r>
        <w:rPr>
          <w:rFonts w:ascii="Times New Roman" w:eastAsia="Times New Roman" w:hAnsi="Times New Roman" w:cs="Times New Roman"/>
        </w:rPr>
        <w:t>0412365400585008952415162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Е.П. Король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«Копия верна»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Е.П. Король</w:t>
      </w: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3681021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6rplc-10">
    <w:name w:val="cat-UserDefined grp-36 rplc-10"/>
    <w:basedOn w:val="DefaultParagraphFont"/>
  </w:style>
  <w:style w:type="character" w:customStyle="1" w:styleId="cat-UserDefinedgrp-37rplc-12">
    <w:name w:val="cat-UserDefined grp-37 rplc-12"/>
    <w:basedOn w:val="DefaultParagraphFont"/>
  </w:style>
  <w:style w:type="character" w:customStyle="1" w:styleId="cat-UserDefinedgrp-38rplc-19">
    <w:name w:val="cat-UserDefined grp-38 rplc-19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CB55D-9907-403E-B723-30DD26E2E9A0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